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Приложение № 1</w:t>
            </w:r>
          </w:p>
        </w:tc>
      </w:tr>
      <w:tr w14:paraId="3422603F"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от </w:t>
            </w:r>
            <w:r>
              <w:rPr>
                <w:color w:val="FF0000"/>
                <w:sz w:val="19"/>
                <w:szCs w:val="19"/>
              </w:rPr>
              <w:t>__ ________ 202</w:t>
            </w:r>
            <w:r>
              <w:rPr>
                <w:rFonts w:hint="default"/>
                <w:color w:val="FF0000"/>
                <w:sz w:val="19"/>
                <w:szCs w:val="19"/>
                <w:lang w:val="ru-RU"/>
              </w:rPr>
              <w:t>6</w:t>
            </w:r>
            <w:r>
              <w:rPr>
                <w:color w:val="FF0000"/>
                <w:sz w:val="19"/>
                <w:szCs w:val="19"/>
              </w:rPr>
              <w:t>г</w:t>
            </w:r>
            <w:r>
              <w:rPr>
                <w:sz w:val="19"/>
                <w:szCs w:val="19"/>
              </w:rPr>
              <w:t xml:space="preserve">. </w:t>
            </w:r>
            <w:r>
              <w:rPr>
                <w:color w:val="FF0000"/>
                <w:sz w:val="19"/>
                <w:szCs w:val="19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19"/>
          <w:szCs w:val="19"/>
        </w:rPr>
      </w:pPr>
    </w:p>
    <w:p w14:paraId="51898027">
      <w:pPr>
        <w:ind w:left="6480" w:firstLine="2167"/>
        <w:jc w:val="center"/>
        <w:rPr>
          <w:sz w:val="19"/>
          <w:szCs w:val="19"/>
        </w:rPr>
      </w:pPr>
      <w:r>
        <w:rPr>
          <w:sz w:val="19"/>
          <w:szCs w:val="19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19"/>
                <w:szCs w:val="19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19"/>
                <w:szCs w:val="19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19"/>
                <w:szCs w:val="19"/>
              </w:rPr>
            </w:pPr>
          </w:p>
        </w:tc>
      </w:tr>
    </w:tbl>
    <w:p w14:paraId="53E1E821">
      <w:pPr>
        <w:pStyle w:val="9"/>
        <w:tabs>
          <w:tab w:val="left" w:pos="708"/>
        </w:tabs>
        <w:rPr>
          <w:sz w:val="19"/>
          <w:szCs w:val="19"/>
        </w:rPr>
      </w:pPr>
      <w:r>
        <w:rPr>
          <w:sz w:val="19"/>
          <w:szCs w:val="19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04D01E58">
      <w:pPr>
        <w:pStyle w:val="3"/>
        <w:rPr>
          <w:b/>
          <w:bCs/>
          <w:sz w:val="19"/>
          <w:szCs w:val="19"/>
        </w:rPr>
      </w:pPr>
    </w:p>
    <w:p w14:paraId="72833B17">
      <w:pPr>
        <w:rPr>
          <w:sz w:val="19"/>
          <w:szCs w:val="19"/>
        </w:rPr>
      </w:pPr>
    </w:p>
    <w:tbl>
      <w:tblPr>
        <w:tblStyle w:val="12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9"/>
              <w:tabs>
                <w:tab w:val="left" w:pos="708"/>
              </w:tabs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  <w:lang w:val="en-US"/>
              </w:rPr>
              <w:t xml:space="preserve">                            </w:t>
            </w:r>
            <w:r>
              <w:rPr>
                <w:b/>
                <w:bCs/>
                <w:sz w:val="19"/>
                <w:szCs w:val="19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«</w:t>
            </w:r>
            <w:r>
              <w:rPr>
                <w:sz w:val="19"/>
                <w:szCs w:val="19"/>
                <w:u w:val="single"/>
              </w:rPr>
              <w:t xml:space="preserve">    </w:t>
            </w:r>
            <w:r>
              <w:rPr>
                <w:sz w:val="19"/>
                <w:szCs w:val="19"/>
              </w:rPr>
              <w:t>»                   20</w:t>
            </w:r>
            <w:r>
              <w:rPr>
                <w:sz w:val="19"/>
                <w:szCs w:val="19"/>
                <w:u w:val="single"/>
              </w:rPr>
              <w:t xml:space="preserve"> 2</w:t>
            </w:r>
            <w:r>
              <w:rPr>
                <w:rFonts w:hint="default"/>
                <w:sz w:val="19"/>
                <w:szCs w:val="19"/>
                <w:u w:val="single"/>
                <w:lang w:val="ru-RU"/>
              </w:rPr>
              <w:t>6</w:t>
            </w:r>
            <w:r>
              <w:rPr>
                <w:sz w:val="19"/>
                <w:szCs w:val="19"/>
                <w:u w:val="single"/>
              </w:rPr>
              <w:t xml:space="preserve"> </w:t>
            </w:r>
            <w:r>
              <w:rPr>
                <w:sz w:val="19"/>
                <w:szCs w:val="19"/>
              </w:rPr>
              <w:t>г.</w:t>
            </w:r>
          </w:p>
        </w:tc>
      </w:tr>
    </w:tbl>
    <w:p w14:paraId="4B03AB01">
      <w:pPr>
        <w:pStyle w:val="3"/>
        <w:rPr>
          <w:b/>
          <w:bCs/>
          <w:sz w:val="19"/>
          <w:szCs w:val="19"/>
        </w:rPr>
      </w:pPr>
    </w:p>
    <w:p w14:paraId="5BFBB4CF">
      <w:pPr>
        <w:pStyle w:val="3"/>
        <w:rPr>
          <w:rFonts w:hint="default"/>
          <w:b/>
          <w:bCs/>
          <w:sz w:val="19"/>
          <w:szCs w:val="19"/>
          <w:lang w:val="ru-RU"/>
        </w:rPr>
      </w:pPr>
      <w:r>
        <w:rPr>
          <w:b/>
          <w:bCs/>
          <w:sz w:val="19"/>
          <w:szCs w:val="19"/>
        </w:rPr>
        <w:t>ДЕФЕКТНЫЙ АК</w:t>
      </w:r>
      <w:r>
        <w:rPr>
          <w:b/>
          <w:bCs/>
          <w:sz w:val="19"/>
          <w:szCs w:val="19"/>
          <w:lang w:val="ru-RU"/>
        </w:rPr>
        <w:t>Т</w:t>
      </w:r>
    </w:p>
    <w:p w14:paraId="1EA1BE33">
      <w:pPr>
        <w:jc w:val="both"/>
        <w:rPr>
          <w:sz w:val="19"/>
          <w:szCs w:val="19"/>
        </w:rPr>
      </w:pPr>
    </w:p>
    <w:p w14:paraId="2A1C40BF">
      <w:pPr>
        <w:jc w:val="both"/>
        <w:rPr>
          <w:sz w:val="19"/>
          <w:szCs w:val="19"/>
        </w:rPr>
      </w:pPr>
      <w:r>
        <w:rPr>
          <w:sz w:val="19"/>
          <w:szCs w:val="19"/>
        </w:rPr>
        <w:t xml:space="preserve">Комиссия, образованна в соответствии с приказом от </w:t>
      </w:r>
      <w:r>
        <w:rPr>
          <w:rFonts w:hint="default"/>
          <w:sz w:val="19"/>
          <w:szCs w:val="19"/>
          <w:lang w:val="ru-RU"/>
        </w:rPr>
        <w:t>05</w:t>
      </w:r>
      <w:r>
        <w:rPr>
          <w:color w:val="FF0000"/>
          <w:sz w:val="19"/>
          <w:szCs w:val="19"/>
        </w:rPr>
        <w:t>.0</w:t>
      </w:r>
      <w:r>
        <w:rPr>
          <w:rFonts w:hint="default"/>
          <w:color w:val="FF0000"/>
          <w:sz w:val="19"/>
          <w:szCs w:val="19"/>
          <w:lang w:val="ru-RU"/>
        </w:rPr>
        <w:t>1</w:t>
      </w:r>
      <w:r>
        <w:rPr>
          <w:color w:val="FF0000"/>
          <w:sz w:val="19"/>
          <w:szCs w:val="19"/>
        </w:rPr>
        <w:t>.202</w:t>
      </w:r>
      <w:r>
        <w:rPr>
          <w:rFonts w:hint="default"/>
          <w:color w:val="FF0000"/>
          <w:sz w:val="19"/>
          <w:szCs w:val="19"/>
          <w:lang w:val="ru-RU"/>
        </w:rPr>
        <w:t>6</w:t>
      </w:r>
      <w:r>
        <w:rPr>
          <w:color w:val="FF0000"/>
          <w:sz w:val="19"/>
          <w:szCs w:val="19"/>
        </w:rPr>
        <w:t xml:space="preserve"> №1-</w:t>
      </w:r>
      <w:r>
        <w:rPr>
          <w:rFonts w:hint="default"/>
          <w:color w:val="FF0000"/>
          <w:sz w:val="19"/>
          <w:szCs w:val="19"/>
          <w:lang w:val="ru-RU"/>
        </w:rPr>
        <w:t>5</w:t>
      </w:r>
      <w:r>
        <w:rPr>
          <w:color w:val="FF0000"/>
          <w:sz w:val="19"/>
          <w:szCs w:val="19"/>
        </w:rPr>
        <w:t>/</w:t>
      </w:r>
      <w:r>
        <w:rPr>
          <w:rFonts w:hint="default"/>
          <w:color w:val="FF0000"/>
          <w:sz w:val="19"/>
          <w:szCs w:val="19"/>
          <w:lang w:val="ru-RU"/>
        </w:rPr>
        <w:t>1 (изм. от 21.01.2026 №1-5/17)</w:t>
      </w:r>
      <w:r>
        <w:rPr>
          <w:color w:val="FF0000"/>
          <w:sz w:val="19"/>
          <w:szCs w:val="19"/>
        </w:rPr>
        <w:t xml:space="preserve"> </w:t>
      </w:r>
      <w:r>
        <w:rPr>
          <w:sz w:val="19"/>
          <w:szCs w:val="19"/>
        </w:rPr>
        <w:t>в составе:</w:t>
      </w:r>
    </w:p>
    <w:p w14:paraId="711FADC4">
      <w:pPr>
        <w:jc w:val="both"/>
        <w:rPr>
          <w:sz w:val="19"/>
          <w:szCs w:val="19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Начальник </w:t>
            </w:r>
            <w:r>
              <w:rPr>
                <w:sz w:val="19"/>
                <w:szCs w:val="19"/>
                <w:lang w:val="ru-RU"/>
              </w:rPr>
              <w:t>управления</w:t>
            </w:r>
            <w:r>
              <w:rPr>
                <w:rFonts w:hint="default"/>
                <w:sz w:val="19"/>
                <w:szCs w:val="19"/>
                <w:lang w:val="ru-RU"/>
              </w:rPr>
              <w:t xml:space="preserve"> </w:t>
            </w:r>
            <w:r>
              <w:rPr>
                <w:sz w:val="19"/>
                <w:szCs w:val="19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И</w:t>
            </w:r>
            <w:r>
              <w:rPr>
                <w:rFonts w:hint="default"/>
                <w:sz w:val="19"/>
                <w:szCs w:val="19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Заместитель</w:t>
            </w:r>
            <w:r>
              <w:rPr>
                <w:rFonts w:hint="default"/>
                <w:sz w:val="19"/>
                <w:szCs w:val="19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rFonts w:hint="default"/>
                <w:sz w:val="19"/>
                <w:szCs w:val="19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О.И.Дубина</w:t>
            </w:r>
          </w:p>
        </w:tc>
      </w:tr>
    </w:tbl>
    <w:p w14:paraId="63C79DF8">
      <w:pPr>
        <w:jc w:val="both"/>
        <w:rPr>
          <w:sz w:val="19"/>
          <w:szCs w:val="19"/>
        </w:rPr>
      </w:pPr>
      <w:r>
        <w:rPr>
          <w:sz w:val="19"/>
          <w:szCs w:val="19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19"/>
                <w:szCs w:val="19"/>
                <w:lang w:val="ru-RU"/>
              </w:rPr>
            </w:pPr>
            <w:r>
              <w:rPr>
                <w:rFonts w:hint="default"/>
                <w:b/>
                <w:bCs/>
                <w:sz w:val="19"/>
                <w:szCs w:val="19"/>
                <w:lang w:val="ru-RU"/>
              </w:rPr>
              <w:t>Государственное учреждение образования «Средняя школа № 121 г. Минска имени М.Ф. Егорова»,                                       ул.</w:t>
            </w:r>
            <w:bookmarkStart w:id="0" w:name="_GoBack"/>
            <w:bookmarkEnd w:id="0"/>
            <w:r>
              <w:rPr>
                <w:rFonts w:hint="default"/>
                <w:b/>
                <w:bCs/>
                <w:sz w:val="19"/>
                <w:szCs w:val="19"/>
                <w:lang w:val="ru-RU"/>
              </w:rPr>
              <w:t>.Калиновского, 50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323A92ED">
            <w:pPr>
              <w:ind w:left="0" w:leftChars="0" w:firstLine="570" w:firstLineChars="300"/>
              <w:jc w:val="both"/>
              <w:rPr>
                <w:rFonts w:hint="default"/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Установлено,</w:t>
            </w:r>
            <w:r>
              <w:rPr>
                <w:rFonts w:hint="default"/>
                <w:sz w:val="19"/>
                <w:szCs w:val="19"/>
                <w:lang w:val="ru-RU"/>
              </w:rPr>
              <w:t xml:space="preserve"> что в ходе осмотре спортивного зала учреждения, установлено</w:t>
            </w:r>
            <w:r>
              <w:rPr>
                <w:rFonts w:hint="default"/>
                <w:sz w:val="19"/>
                <w:szCs w:val="19"/>
                <w:lang w:val="en-US"/>
              </w:rPr>
              <w:t>:</w:t>
            </w:r>
          </w:p>
          <w:p w14:paraId="0430C1E2">
            <w:pPr>
              <w:ind w:left="0" w:leftChars="0" w:firstLine="570" w:firstLineChars="300"/>
              <w:jc w:val="both"/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rFonts w:hint="default"/>
                <w:sz w:val="19"/>
                <w:szCs w:val="19"/>
                <w:lang w:val="ru-RU"/>
              </w:rPr>
              <w:t>щит управления освещением актового зала в количестве 1 шт. имеет повреждения корпуса, деформацию дверцы, следы перегрева внутренних элементов, утратил механическую прочность;</w:t>
            </w:r>
          </w:p>
          <w:p w14:paraId="37EBD7BF">
            <w:pPr>
              <w:ind w:left="0" w:leftChars="0" w:firstLine="570" w:firstLineChars="300"/>
              <w:jc w:val="both"/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rFonts w:hint="default"/>
                <w:sz w:val="19"/>
                <w:szCs w:val="19"/>
                <w:lang w:val="ru-RU"/>
              </w:rPr>
              <w:t>автоматические выключатели щита управления освещением в количестве 10 шт. имеют повреждённые рычаги включения, ослабленные контактные зажимы, следы копоти и нагара на контактах, не обеспечивают надежной защиты;</w:t>
            </w:r>
          </w:p>
          <w:p w14:paraId="23324EA0">
            <w:pPr>
              <w:ind w:left="0" w:leftChars="0" w:firstLine="570" w:firstLineChars="300"/>
              <w:jc w:val="both"/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rFonts w:hint="default"/>
                <w:sz w:val="19"/>
                <w:szCs w:val="19"/>
                <w:lang w:val="ru-RU"/>
              </w:rPr>
              <w:t>светильники в количестве 13 шт. имеют повреждённые отражатели, трещины в плафонах, неисправные пускорегулирующие аппараты, частично отсутствуют крепления,;</w:t>
            </w:r>
          </w:p>
          <w:p w14:paraId="35B898A2">
            <w:pPr>
              <w:ind w:left="0" w:leftChars="0" w:firstLine="570" w:firstLineChars="300"/>
              <w:jc w:val="both"/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rFonts w:hint="default"/>
                <w:sz w:val="19"/>
                <w:szCs w:val="19"/>
                <w:lang w:val="ru-RU"/>
              </w:rPr>
              <w:t>выключатели и розетки в количестве 21 шт. имеют механические повреждения корпусов, ослабленные контактные группы, сколы и трещины, коррозию контактов;</w:t>
            </w:r>
          </w:p>
          <w:p w14:paraId="38D58325">
            <w:pPr>
              <w:ind w:left="0" w:leftChars="0" w:firstLine="570" w:firstLineChars="300"/>
              <w:jc w:val="both"/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rFonts w:hint="default"/>
                <w:sz w:val="19"/>
                <w:szCs w:val="19"/>
                <w:lang w:val="ru-RU"/>
              </w:rPr>
              <w:t>прожекторы с решётками в количестве 8 шт. имеют коррозию корпусов, повреждения отражателей, ослабленные контактные соединения, утратили светотехнические характеристики;</w:t>
            </w:r>
          </w:p>
          <w:p w14:paraId="526DBA39">
            <w:pPr>
              <w:ind w:left="0" w:leftChars="0" w:firstLine="570" w:firstLineChars="300"/>
              <w:jc w:val="both"/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rFonts w:hint="default"/>
                <w:sz w:val="19"/>
                <w:szCs w:val="19"/>
                <w:lang w:val="ru-RU"/>
              </w:rPr>
              <w:t>существующая электропроводка линий электроснабжения в количестве 270 м выполнена алюминиевыми проводниками с повреждённой и частично разрушенной изоляцией, имеет механические повреждения оболочки, трещины изоляции жил, следы перегрева.</w:t>
            </w:r>
          </w:p>
          <w:p w14:paraId="59380CA4">
            <w:pPr>
              <w:ind w:left="0" w:leftChars="0" w:firstLine="570" w:firstLineChars="300"/>
              <w:jc w:val="both"/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rFonts w:hint="default"/>
                <w:sz w:val="19"/>
                <w:szCs w:val="19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19"/>
                <w:szCs w:val="19"/>
                <w:lang w:val="en-US"/>
              </w:rPr>
              <w:t xml:space="preserve"> (</w:t>
            </w:r>
            <w:r>
              <w:rPr>
                <w:rFonts w:hint="default"/>
                <w:sz w:val="19"/>
                <w:szCs w:val="19"/>
                <w:lang w:val="ru-RU"/>
              </w:rPr>
              <w:t>К=</w:t>
            </w:r>
            <w:r>
              <w:rPr>
                <w:rFonts w:hint="default"/>
                <w:sz w:val="19"/>
                <w:szCs w:val="19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</w:rPr>
              <w:t>Дата начала разработки сметной документации</w:t>
            </w:r>
            <w:r>
              <w:rPr>
                <w:rFonts w:hint="default"/>
                <w:sz w:val="19"/>
                <w:szCs w:val="19"/>
                <w:lang w:val="en-US"/>
              </w:rPr>
              <w:t>: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rFonts w:hint="default"/>
                <w:sz w:val="19"/>
                <w:szCs w:val="19"/>
                <w:lang w:val="ru-RU"/>
              </w:rPr>
              <w:t>01.06.2026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19"/>
                <w:szCs w:val="19"/>
                <w:lang w:val="en-US"/>
              </w:rPr>
              <w:t>:</w:t>
            </w:r>
            <w:r>
              <w:rPr>
                <w:rFonts w:hint="default"/>
                <w:sz w:val="19"/>
                <w:szCs w:val="19"/>
                <w:lang w:val="ru-RU"/>
              </w:rPr>
              <w:t xml:space="preserve"> дата заключения договора.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19"/>
                <w:szCs w:val="19"/>
                <w:lang w:val="ru-RU"/>
              </w:rPr>
            </w:pPr>
            <w:r>
              <w:rPr>
                <w:rFonts w:hint="default"/>
                <w:sz w:val="19"/>
                <w:szCs w:val="19"/>
                <w:lang w:val="ru-RU"/>
              </w:rPr>
              <w:t xml:space="preserve">Продолжительность выполнения </w:t>
            </w:r>
            <w:r>
              <w:rPr>
                <w:sz w:val="19"/>
                <w:szCs w:val="19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19"/>
                <w:szCs w:val="19"/>
                <w:lang w:val="en-US"/>
              </w:rPr>
              <w:t xml:space="preserve">: </w:t>
            </w:r>
            <w:r>
              <w:rPr>
                <w:rFonts w:hint="default"/>
                <w:sz w:val="19"/>
                <w:szCs w:val="19"/>
                <w:lang w:val="ru-RU"/>
              </w:rPr>
              <w:t>7 рабочих дней с даты заключения договора</w:t>
            </w:r>
          </w:p>
        </w:tc>
      </w:tr>
    </w:tbl>
    <w:p w14:paraId="3AA0B887">
      <w:pPr>
        <w:rPr>
          <w:sz w:val="19"/>
          <w:szCs w:val="19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председателя комиссии</w:t>
            </w:r>
            <w:r>
              <w:rPr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Начальник </w:t>
            </w:r>
            <w:r>
              <w:rPr>
                <w:sz w:val="19"/>
                <w:szCs w:val="19"/>
                <w:lang w:val="ru-RU"/>
              </w:rPr>
              <w:t>управления</w:t>
            </w:r>
            <w:r>
              <w:rPr>
                <w:rFonts w:hint="default"/>
                <w:sz w:val="19"/>
                <w:szCs w:val="19"/>
                <w:lang w:val="ru-RU"/>
              </w:rPr>
              <w:t xml:space="preserve"> </w:t>
            </w:r>
            <w:r>
              <w:rPr>
                <w:sz w:val="19"/>
                <w:szCs w:val="19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ru-RU"/>
              </w:rPr>
              <w:t>И</w:t>
            </w:r>
            <w:r>
              <w:rPr>
                <w:rFonts w:hint="default"/>
                <w:sz w:val="19"/>
                <w:szCs w:val="19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членов комиссии</w:t>
            </w:r>
            <w:r>
              <w:rPr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ru-RU"/>
              </w:rPr>
              <w:t>Заместитель</w:t>
            </w:r>
            <w:r>
              <w:rPr>
                <w:rFonts w:hint="default"/>
                <w:sz w:val="19"/>
                <w:szCs w:val="19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19"/>
                <w:szCs w:val="19"/>
              </w:rPr>
            </w:pPr>
            <w:r>
              <w:rPr>
                <w:rFonts w:hint="default"/>
                <w:sz w:val="19"/>
                <w:szCs w:val="19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</w:tbl>
    <w:p w14:paraId="74E5BED2">
      <w:pPr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480"/>
        <w:gridCol w:w="6024"/>
        <w:gridCol w:w="1347"/>
        <w:gridCol w:w="1134"/>
        <w:gridCol w:w="1612"/>
      </w:tblGrid>
      <w:tr w14:paraId="5E602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367C5B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BC50D9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ДЕМОНТАЖ БЛОК УПРАВЛЕНИЯ ШКАФНОГО ИСПОЛНЕНИЯ ИЛИ РАСПРЕДЕЛИТЕЛЬНЫЙ ПУНКТ (ШКАФ), УСТАНАВЛИВАЕМЫЙ НА СТЕНЕ, ВЫСОТА И ШИРИНА 600 Х 600 ММ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704F8">
            <w:pPr>
              <w:spacing w:before="60"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6653C2C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6CFCD27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2AC0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80262A2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128B886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ДЕМОНТАЖ АВТОМАТ ОДНО-, ДВУХ-, ТРЕХПОЛЮСНЫЙ, УСТАНАВЛИВАЕМЫЙ НА КОНСТРУКЦИИ НА СТЕНЕ ИЛИ КОЛОННЕ, ТОК ДО 25 А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589FE6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12EC3A0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917CC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602C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78A5CDE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0EC553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ДЕМОНТАЖ АВТОМАТ ОДНО-, ДВУХ-, ТРЕХПОЛЮСНЫЙ, УСТАНАВЛИВАЕМЫЙ НА КОНСТРУКЦИИ НА СТЕНЕ ИЛИ КОЛОННЕ, ТОК ДО 100 А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8FD3DD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472F268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BCAC43E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4DFA5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C3F60A8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63A138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ДЕМОНТАЖ СВЕТИЛЬНИКОВ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4B44CB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C515DA9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BCD24E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28405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20DBAF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32464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ДЕМОНТАЖ ВЫКЛЮЧАТЕЛЕЙ И РОЗЕТОК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2357A3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1AD8E11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306CCC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269FC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9FBB367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B4EB8B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ДЕМОНТАЖ ПРОЖЕКТОРОВ С РЕШЕТКАМИ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D005D9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AC5456C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0,08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4DF076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555F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B8CE6A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71AEE3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ПРОБИВКА БОРОЗД В КИРПИЧНЫХ СТЕНАХ ДЛЯ УСТРОЙСТВА ЭЛЕКТРОПРОВОДКИ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605A2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B55101C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E8601A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2A898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B992AB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E11D3B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КАБЕЛЬ ДВУХ-ЧЕТЫРЕХЖИЛЬНЫЙ СЕЧЕНИЕМ ЖИЛЫ ДО 6 ММ2 В ГОТОВЫХ БОРОЗДАХ (ШТРАБАХ) С УСТАНОВКОЙ ОТВЕТВИТЕЛЬНЫХ КОРОБОК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3CA36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9607E19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AA2ED6F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6D316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1549B5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A3F362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КАБЕЛЬ ТРЕХ-ПЯТИЖИЛЬНЫЙ СЕЧЕНИЕМ ЖИЛЫ ДО 10 ММ2 ПО УСТАНОВЛЕННЫМ КОНСТРУКЦИЯМ И ЛОТКАМ С УСТАНОВКОЙ ОТВЕТВИТЕЛЬНЫХ КОРОБОК, КРЕПЛЕНИЕ ПОЛОСКАМИ (ПРЯЖКАМИ)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79D7C4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277F92E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2,7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346CF6E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33CC5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EE1E0A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E91A44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ВЫКЛЮЧАТЕЛЬ ОДНОКЛАВИШНЫЙ УТОПЛЕННОГО ТИПА ПРИ СКРЫТОЙ ПРОВОДКЕ С КРЕПЛЕНИЕМ ВЯЖУЩИМИ РАСТВОРАМИ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853776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7D6F059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0,08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75A1D3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39F22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20AA65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7882A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ВЫКЛЮЧАТЕЛЬ ДВУХКЛАВИШНЫЙ УТОПЛЕННОГО ТИПА ПРИ СКРЫТОЙ ПРОВОДКЕ С КРЕПЛЕНИЕМ ВЯЖУЩИМИ РАСТВОРАМИ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21022C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795D99B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0,03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8F24B6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1020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D46203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E28AD8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РОЗЕТКА ШТЕПСЕЛЬНАЯ УТОПЛЕННОГО ТИПА ПРИ СКРЫТОЙ ПРОВОДКЕ С КРЕПЛЕНИЕМ ВЯЖУЩИМИ РАСТВОРАМИ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5A960DA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9F186D2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C05F2E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3B6A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491044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DFA99E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КАБЕЛЬ-КАНАЛЫ ПВХ, СЕЧЕНИЕ ДО 40 Х 16 ММ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78427AE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0E0B8717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1,4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DF3A37F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0CACD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8874A8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03B1092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БЛОК УПРАВЛЕНИЯ ШКАФНОГО ИСПОЛНЕНИЯ ИЛИ РАСПРЕДЕЛИТЕЛЬНЫЙ ПУНКТ (ШКАФ), УСТАНАВЛИВАЕМЫЙ НА СТЕНЕ, ВЫСОТА И ШИРИНА 600 Х 600 ММ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5E4B9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17B06E3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ru-RU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ru-RU" w:eastAsia="zh-CN" w:bidi="ar"/>
              </w:rPr>
              <w:t>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B51EA16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119C2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CAB0FF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FF5A1FA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АВТОМАТ ОДНО-, ДВУХ-, ТРЕХПОЛЮСНЫЙ, УСТАНАВЛИВАЕМЫЙ НА КОНСТРУКЦИИ НА СТЕНЕ ИЛИ КОЛОННЕ, ТОК ДО 25 А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D613B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 w:eastAsia="ru-RU" w:bidi="ar-SA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49F00F8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 w:eastAsia="ru-RU" w:bidi="ar-SA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 w:eastAsia="ru-RU" w:bidi="ar-SA"/>
              </w:rPr>
              <w:t>9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97966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6C035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6B089E3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BDD6D1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АВТОМАТ ОДНО-, ДВУХ-, ТРЕХПОЛЮСНЫЙ, УСТАНАВЛИВАЕМЫЙ НА КОНСТРУКЦИИ НА СТЕНЕ ИЛИ КОЛОННЕ, ТОК ДО 100 А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1385D2C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3EB1F440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0DEE71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5C575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38F910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643C96B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СВЕТИЛЬНИК МЕСТНОГО ОСВЕЩЕНИЯ С КРЕПЛЕНИЕМ ВИНТОМ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449CC3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61F640C9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0,06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96AD954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14:paraId="11B4C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11" w:hRule="atLeast"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CF1F073">
            <w:pPr>
              <w:numPr>
                <w:ilvl w:val="0"/>
                <w:numId w:val="1"/>
              </w:numPr>
              <w:spacing w:beforeLines="0" w:afterLines="0"/>
              <w:ind w:left="357" w:hanging="3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86DB8E">
            <w:pPr>
              <w:autoSpaceDE/>
              <w:spacing w:before="60" w:beforeLines="0" w:afterLines="0"/>
              <w:ind w:left="-57" w:right="-57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ПРОЖЕКТОР, ОТДЕЛЬНО УСТАНАВЛИВАЕМЫЙ НА КРОНШТЕЙНЕ НА ОПОРЕ, МОЩНОСТЬ ЛАМПЫ ДО 1200 ВТ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1859CF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top"/>
          </w:tcPr>
          <w:p w14:paraId="2F70B89A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b w:val="0"/>
                <w:bCs w:val="0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0,12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BA8D5B">
            <w:pPr>
              <w:spacing w:beforeLines="0" w:afterLines="0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</w:tr>
    </w:tbl>
    <w:p w14:paraId="16D2E063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D6B257A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C9C2BEA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6850C1"/>
    <w:multiLevelType w:val="multilevel"/>
    <w:tmpl w:val="726850C1"/>
    <w:lvl w:ilvl="0" w:tentative="0">
      <w:start w:val="1"/>
      <w:numFmt w:val="decimal"/>
      <w:lvlText w:val="%1."/>
      <w:lvlJc w:val="left"/>
      <w:pPr>
        <w:tabs>
          <w:tab w:val="left" w:pos="0"/>
        </w:tabs>
      </w:pPr>
      <w:rPr>
        <w:rFonts w:hint="default" w:cs="Times New Roman"/>
        <w:position w:val="0"/>
        <w:sz w:val="12"/>
        <w:szCs w:val="12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8F34D66"/>
    <w:rsid w:val="0ACE61BA"/>
    <w:rsid w:val="13D55286"/>
    <w:rsid w:val="165F78CC"/>
    <w:rsid w:val="1A384B3E"/>
    <w:rsid w:val="209F4781"/>
    <w:rsid w:val="217F294D"/>
    <w:rsid w:val="25AC33F8"/>
    <w:rsid w:val="28B828E7"/>
    <w:rsid w:val="2DC342DF"/>
    <w:rsid w:val="3D5147E4"/>
    <w:rsid w:val="3F110955"/>
    <w:rsid w:val="3F900826"/>
    <w:rsid w:val="41102ED1"/>
    <w:rsid w:val="4253789F"/>
    <w:rsid w:val="43550727"/>
    <w:rsid w:val="45CD23C1"/>
    <w:rsid w:val="477D5511"/>
    <w:rsid w:val="482272D3"/>
    <w:rsid w:val="48E70E06"/>
    <w:rsid w:val="56A411A2"/>
    <w:rsid w:val="59BF374D"/>
    <w:rsid w:val="5CE41FE9"/>
    <w:rsid w:val="5D641804"/>
    <w:rsid w:val="5E023763"/>
    <w:rsid w:val="5F3E325F"/>
    <w:rsid w:val="61EA2E9D"/>
    <w:rsid w:val="6AF71B23"/>
    <w:rsid w:val="6C1667BF"/>
    <w:rsid w:val="6ECE5EFB"/>
    <w:rsid w:val="75FB6052"/>
    <w:rsid w:val="76790AEC"/>
    <w:rsid w:val="77B147D4"/>
    <w:rsid w:val="78630FF1"/>
    <w:rsid w:val="79901B0B"/>
    <w:rsid w:val="7AB55B64"/>
    <w:rsid w:val="7B745E22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636</Words>
  <Characters>4446</Characters>
  <Lines>19</Lines>
  <Paragraphs>5</Paragraphs>
  <TotalTime>24</TotalTime>
  <ScaleCrop>false</ScaleCrop>
  <LinksUpToDate>false</LinksUpToDate>
  <CharactersWithSpaces>5285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2026-06-23T13:56:33Z</cp:lastPrinted>
  <dcterms:modified xsi:type="dcterms:W3CDTF">2026-06-23T13:57:47Z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